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BA6" w:rsidRPr="00091BA6" w:rsidRDefault="00091BA6" w:rsidP="00091BA6">
      <w:pPr>
        <w:spacing w:before="225" w:after="225" w:line="300" w:lineRule="atLeast"/>
        <w:rPr>
          <w:rFonts w:ascii="Arial" w:eastAsia="Times New Roman" w:hAnsi="Arial" w:cs="Arial"/>
          <w:color w:val="444444"/>
          <w:sz w:val="21"/>
          <w:szCs w:val="21"/>
          <w:lang w:eastAsia="ru-RU"/>
        </w:rPr>
      </w:pPr>
      <w:r>
        <w:rPr>
          <w:rFonts w:ascii="Arial" w:eastAsia="Times New Roman" w:hAnsi="Arial" w:cs="Arial"/>
          <w:color w:val="444444"/>
          <w:sz w:val="21"/>
          <w:szCs w:val="21"/>
          <w:lang w:eastAsia="ru-RU"/>
        </w:rPr>
        <w:t xml:space="preserve">        </w:t>
      </w:r>
      <w:r w:rsidRPr="00091BA6">
        <w:rPr>
          <w:rFonts w:ascii="Arial" w:eastAsia="Times New Roman" w:hAnsi="Arial" w:cs="Arial"/>
          <w:b/>
          <w:bCs/>
          <w:color w:val="444444"/>
          <w:sz w:val="21"/>
          <w:szCs w:val="21"/>
          <w:lang w:eastAsia="ru-RU"/>
        </w:rPr>
        <w:t>Министерство образования и науки Российской Федерации (</w:t>
      </w:r>
      <w:proofErr w:type="spellStart"/>
      <w:r w:rsidRPr="00091BA6">
        <w:rPr>
          <w:rFonts w:ascii="Arial" w:eastAsia="Times New Roman" w:hAnsi="Arial" w:cs="Arial"/>
          <w:b/>
          <w:bCs/>
          <w:color w:val="444444"/>
          <w:sz w:val="21"/>
          <w:szCs w:val="21"/>
          <w:lang w:eastAsia="ru-RU"/>
        </w:rPr>
        <w:t>Минобрнауки</w:t>
      </w:r>
      <w:proofErr w:type="spellEnd"/>
      <w:r w:rsidRPr="00091BA6">
        <w:rPr>
          <w:rFonts w:ascii="Arial" w:eastAsia="Times New Roman" w:hAnsi="Arial" w:cs="Arial"/>
          <w:b/>
          <w:bCs/>
          <w:color w:val="444444"/>
          <w:sz w:val="21"/>
          <w:szCs w:val="21"/>
          <w:lang w:eastAsia="ru-RU"/>
        </w:rPr>
        <w:t xml:space="preserve"> России)</w:t>
      </w:r>
    </w:p>
    <w:p w:rsidR="00091BA6" w:rsidRPr="00091BA6" w:rsidRDefault="00091BA6" w:rsidP="00091BA6">
      <w:pPr>
        <w:spacing w:before="225" w:after="225" w:line="300" w:lineRule="atLeast"/>
        <w:jc w:val="center"/>
        <w:rPr>
          <w:rFonts w:ascii="Arial" w:eastAsia="Times New Roman" w:hAnsi="Arial" w:cs="Arial"/>
          <w:color w:val="444444"/>
          <w:sz w:val="21"/>
          <w:szCs w:val="21"/>
          <w:lang w:eastAsia="ru-RU"/>
        </w:rPr>
      </w:pPr>
      <w:r w:rsidRPr="00091BA6">
        <w:rPr>
          <w:rFonts w:ascii="Arial" w:eastAsia="Times New Roman" w:hAnsi="Arial" w:cs="Arial"/>
          <w:b/>
          <w:bCs/>
          <w:color w:val="444444"/>
          <w:sz w:val="21"/>
          <w:szCs w:val="21"/>
          <w:lang w:eastAsia="ru-RU"/>
        </w:rPr>
        <w:t>Департамент общего образования</w:t>
      </w:r>
    </w:p>
    <w:p w:rsidR="00091BA6" w:rsidRPr="00091BA6" w:rsidRDefault="00091BA6" w:rsidP="00091BA6">
      <w:pPr>
        <w:spacing w:before="225" w:after="225" w:line="300" w:lineRule="atLeast"/>
        <w:jc w:val="center"/>
        <w:rPr>
          <w:rFonts w:ascii="Arial" w:eastAsia="Times New Roman" w:hAnsi="Arial" w:cs="Arial"/>
          <w:color w:val="444444"/>
          <w:sz w:val="21"/>
          <w:szCs w:val="21"/>
          <w:lang w:eastAsia="ru-RU"/>
        </w:rPr>
      </w:pPr>
      <w:r w:rsidRPr="00091BA6">
        <w:rPr>
          <w:rFonts w:ascii="Arial" w:eastAsia="Times New Roman" w:hAnsi="Arial" w:cs="Arial"/>
          <w:b/>
          <w:bCs/>
          <w:color w:val="444444"/>
          <w:sz w:val="21"/>
          <w:szCs w:val="21"/>
          <w:lang w:eastAsia="ru-RU"/>
        </w:rPr>
        <w:t>28 февраля 2014 год № 08-249</w:t>
      </w:r>
    </w:p>
    <w:p w:rsidR="00091BA6" w:rsidRPr="00091BA6" w:rsidRDefault="00091BA6" w:rsidP="00091BA6">
      <w:pPr>
        <w:spacing w:before="225" w:after="225" w:line="300" w:lineRule="atLeast"/>
        <w:rPr>
          <w:rFonts w:ascii="Arial" w:eastAsia="Times New Roman" w:hAnsi="Arial" w:cs="Arial"/>
          <w:color w:val="444444"/>
          <w:sz w:val="21"/>
          <w:szCs w:val="21"/>
          <w:lang w:eastAsia="ru-RU"/>
        </w:rPr>
      </w:pPr>
      <w:r w:rsidRPr="00091BA6">
        <w:rPr>
          <w:rFonts w:ascii="Arial" w:eastAsia="Times New Roman" w:hAnsi="Arial" w:cs="Arial"/>
          <w:b/>
          <w:bCs/>
          <w:color w:val="444444"/>
          <w:sz w:val="21"/>
          <w:szCs w:val="21"/>
          <w:lang w:eastAsia="ru-RU"/>
        </w:rPr>
        <w:t> </w:t>
      </w:r>
    </w:p>
    <w:p w:rsidR="00091BA6" w:rsidRPr="00091BA6" w:rsidRDefault="00091BA6" w:rsidP="00091BA6">
      <w:pPr>
        <w:spacing w:before="225" w:after="225" w:line="300" w:lineRule="atLeast"/>
        <w:jc w:val="center"/>
        <w:rPr>
          <w:rFonts w:ascii="Arial" w:eastAsia="Times New Roman" w:hAnsi="Arial" w:cs="Arial"/>
          <w:color w:val="444444"/>
          <w:sz w:val="21"/>
          <w:szCs w:val="21"/>
          <w:lang w:eastAsia="ru-RU"/>
        </w:rPr>
      </w:pPr>
      <w:r w:rsidRPr="00091BA6">
        <w:rPr>
          <w:rFonts w:ascii="Arial" w:eastAsia="Times New Roman" w:hAnsi="Arial" w:cs="Arial"/>
          <w:b/>
          <w:bCs/>
          <w:color w:val="444444"/>
          <w:sz w:val="21"/>
          <w:szCs w:val="21"/>
          <w:lang w:eastAsia="ru-RU"/>
        </w:rPr>
        <w:t>Комментарии к ФГОС дошкольного образования</w:t>
      </w:r>
    </w:p>
    <w:p w:rsidR="00091BA6" w:rsidRPr="00091BA6" w:rsidRDefault="00091BA6" w:rsidP="00091BA6">
      <w:pPr>
        <w:spacing w:before="225" w:after="225" w:line="300" w:lineRule="atLeast"/>
        <w:jc w:val="both"/>
        <w:rPr>
          <w:rFonts w:ascii="Arial" w:eastAsia="Times New Roman" w:hAnsi="Arial" w:cs="Arial"/>
          <w:color w:val="444444"/>
          <w:sz w:val="21"/>
          <w:szCs w:val="21"/>
          <w:lang w:eastAsia="ru-RU"/>
        </w:rPr>
      </w:pPr>
      <w:r w:rsidRPr="00091BA6">
        <w:rPr>
          <w:rFonts w:ascii="Arial" w:eastAsia="Times New Roman" w:hAnsi="Arial" w:cs="Arial"/>
          <w:color w:val="444444"/>
          <w:sz w:val="21"/>
          <w:szCs w:val="21"/>
          <w:lang w:eastAsia="ru-RU"/>
        </w:rPr>
        <w:t xml:space="preserve">Во исполнение пункта 1.3.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 Первым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w:t>
      </w:r>
      <w:proofErr w:type="spellStart"/>
      <w:r w:rsidRPr="00091BA6">
        <w:rPr>
          <w:rFonts w:ascii="Arial" w:eastAsia="Times New Roman" w:hAnsi="Arial" w:cs="Arial"/>
          <w:color w:val="444444"/>
          <w:sz w:val="21"/>
          <w:szCs w:val="21"/>
          <w:lang w:eastAsia="ru-RU"/>
        </w:rPr>
        <w:t>Минобрнауки</w:t>
      </w:r>
      <w:proofErr w:type="spellEnd"/>
      <w:r w:rsidRPr="00091BA6">
        <w:rPr>
          <w:rFonts w:ascii="Arial" w:eastAsia="Times New Roman" w:hAnsi="Arial" w:cs="Arial"/>
          <w:color w:val="444444"/>
          <w:sz w:val="21"/>
          <w:szCs w:val="21"/>
          <w:lang w:eastAsia="ru-RU"/>
        </w:rPr>
        <w:t xml:space="preserve"> России направляет комментарии по отдельным вопросам введения федерального государственного образовательного стандарта дошкольного образования, утвержденного приказом </w:t>
      </w:r>
      <w:proofErr w:type="spellStart"/>
      <w:r w:rsidRPr="00091BA6">
        <w:rPr>
          <w:rFonts w:ascii="Arial" w:eastAsia="Times New Roman" w:hAnsi="Arial" w:cs="Arial"/>
          <w:color w:val="444444"/>
          <w:sz w:val="21"/>
          <w:szCs w:val="21"/>
          <w:lang w:eastAsia="ru-RU"/>
        </w:rPr>
        <w:t>Минобрнауки</w:t>
      </w:r>
      <w:proofErr w:type="spellEnd"/>
      <w:r w:rsidRPr="00091BA6">
        <w:rPr>
          <w:rFonts w:ascii="Arial" w:eastAsia="Times New Roman" w:hAnsi="Arial" w:cs="Arial"/>
          <w:color w:val="444444"/>
          <w:sz w:val="21"/>
          <w:szCs w:val="21"/>
          <w:lang w:eastAsia="ru-RU"/>
        </w:rPr>
        <w:t xml:space="preserve"> России от 17 октября 2013 г №1155 (зарегистрирован в Минюсте России 14 ноября 2013 г. №30384).</w:t>
      </w:r>
    </w:p>
    <w:p w:rsidR="00091BA6" w:rsidRPr="00091BA6" w:rsidRDefault="00091BA6" w:rsidP="00091BA6">
      <w:pPr>
        <w:spacing w:before="225" w:after="225" w:line="300" w:lineRule="atLeast"/>
        <w:jc w:val="both"/>
        <w:rPr>
          <w:rFonts w:ascii="Arial" w:eastAsia="Times New Roman" w:hAnsi="Arial" w:cs="Arial"/>
          <w:color w:val="444444"/>
          <w:sz w:val="21"/>
          <w:szCs w:val="21"/>
          <w:lang w:eastAsia="ru-RU"/>
        </w:rPr>
      </w:pPr>
      <w:r w:rsidRPr="00091BA6">
        <w:rPr>
          <w:rFonts w:ascii="Arial" w:eastAsia="Times New Roman" w:hAnsi="Arial" w:cs="Arial"/>
          <w:color w:val="444444"/>
          <w:sz w:val="21"/>
          <w:szCs w:val="21"/>
          <w:lang w:eastAsia="ru-RU"/>
        </w:rPr>
        <w:t>Настоящие комментарии были разработаны ФГАУ «Федеральный институт развития образования» на основе вопросов, возникающих у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руководителей образовательных организаций, реализующих образовательные программы дошкольного образования и практических работников дошкольного образования.</w:t>
      </w:r>
    </w:p>
    <w:p w:rsidR="00091BA6" w:rsidRPr="00091BA6" w:rsidRDefault="00091BA6" w:rsidP="00091BA6">
      <w:pPr>
        <w:spacing w:before="225" w:after="225" w:line="300" w:lineRule="atLeast"/>
        <w:rPr>
          <w:rFonts w:ascii="Arial" w:eastAsia="Times New Roman" w:hAnsi="Arial" w:cs="Arial"/>
          <w:color w:val="444444"/>
          <w:sz w:val="21"/>
          <w:szCs w:val="21"/>
          <w:lang w:eastAsia="ru-RU"/>
        </w:rPr>
      </w:pPr>
      <w:r w:rsidRPr="00091BA6">
        <w:rPr>
          <w:rFonts w:ascii="Arial" w:eastAsia="Times New Roman" w:hAnsi="Arial" w:cs="Arial"/>
          <w:color w:val="444444"/>
          <w:sz w:val="21"/>
          <w:szCs w:val="21"/>
          <w:lang w:eastAsia="ru-RU"/>
        </w:rPr>
        <w:t>Приложение: на л. в 1 экз.</w:t>
      </w:r>
    </w:p>
    <w:p w:rsidR="00091BA6" w:rsidRPr="00091BA6" w:rsidRDefault="00091BA6" w:rsidP="00091BA6">
      <w:pPr>
        <w:spacing w:before="225" w:after="225" w:line="300" w:lineRule="atLeast"/>
        <w:rPr>
          <w:rFonts w:ascii="Arial" w:eastAsia="Times New Roman" w:hAnsi="Arial" w:cs="Arial"/>
          <w:color w:val="444444"/>
          <w:sz w:val="21"/>
          <w:szCs w:val="21"/>
          <w:lang w:eastAsia="ru-RU"/>
        </w:rPr>
      </w:pPr>
      <w:r w:rsidRPr="00091BA6">
        <w:rPr>
          <w:rFonts w:ascii="Arial" w:eastAsia="Times New Roman" w:hAnsi="Arial" w:cs="Arial"/>
          <w:color w:val="444444"/>
          <w:sz w:val="21"/>
          <w:szCs w:val="21"/>
          <w:lang w:eastAsia="ru-RU"/>
        </w:rPr>
        <w:t>Заместитель директора Департамента                                                                                                                                             Ю.В. Смирнова</w:t>
      </w:r>
    </w:p>
    <w:p w:rsidR="00091BA6" w:rsidRPr="00091BA6" w:rsidRDefault="00091BA6" w:rsidP="00091BA6">
      <w:pPr>
        <w:spacing w:before="225" w:after="225" w:line="300" w:lineRule="atLeast"/>
        <w:rPr>
          <w:rFonts w:ascii="Arial" w:eastAsia="Times New Roman" w:hAnsi="Arial" w:cs="Arial"/>
          <w:color w:val="444444"/>
          <w:sz w:val="21"/>
          <w:szCs w:val="21"/>
          <w:lang w:eastAsia="ru-RU"/>
        </w:rPr>
      </w:pPr>
      <w:r w:rsidRPr="00091BA6">
        <w:rPr>
          <w:rFonts w:ascii="Arial" w:eastAsia="Times New Roman" w:hAnsi="Arial" w:cs="Arial"/>
          <w:color w:val="444444"/>
          <w:sz w:val="21"/>
          <w:szCs w:val="21"/>
          <w:lang w:eastAsia="ru-RU"/>
        </w:rPr>
        <w:br w:type="textWrapping" w:clear="all"/>
      </w:r>
    </w:p>
    <w:p w:rsidR="00091BA6" w:rsidRPr="00091BA6" w:rsidRDefault="00091BA6" w:rsidP="00091BA6">
      <w:pPr>
        <w:spacing w:before="225" w:after="225" w:line="300" w:lineRule="atLeast"/>
        <w:rPr>
          <w:rFonts w:ascii="Arial" w:eastAsia="Times New Roman" w:hAnsi="Arial" w:cs="Arial"/>
          <w:color w:val="444444"/>
          <w:sz w:val="21"/>
          <w:szCs w:val="21"/>
          <w:lang w:eastAsia="ru-RU"/>
        </w:rPr>
      </w:pPr>
      <w:r>
        <w:rPr>
          <w:rFonts w:ascii="Arial" w:eastAsia="Times New Roman" w:hAnsi="Arial" w:cs="Arial"/>
          <w:color w:val="444444"/>
          <w:sz w:val="21"/>
          <w:szCs w:val="21"/>
          <w:lang w:eastAsia="ru-RU"/>
        </w:rPr>
        <w:t xml:space="preserve">                                                                  </w:t>
      </w:r>
      <w:r w:rsidRPr="00091BA6">
        <w:rPr>
          <w:rFonts w:ascii="Arial" w:eastAsia="Times New Roman" w:hAnsi="Arial" w:cs="Arial"/>
          <w:b/>
          <w:bCs/>
          <w:color w:val="444444"/>
          <w:sz w:val="21"/>
          <w:szCs w:val="21"/>
          <w:lang w:eastAsia="ru-RU"/>
        </w:rPr>
        <w:t>Приложение</w:t>
      </w:r>
    </w:p>
    <w:p w:rsidR="00091BA6" w:rsidRPr="00091BA6" w:rsidRDefault="00091BA6" w:rsidP="00091BA6">
      <w:pPr>
        <w:spacing w:before="225" w:after="225" w:line="300" w:lineRule="atLeast"/>
        <w:jc w:val="center"/>
        <w:rPr>
          <w:rFonts w:ascii="Times New Roman" w:eastAsia="Times New Roman" w:hAnsi="Times New Roman" w:cs="Times New Roman"/>
          <w:color w:val="444444"/>
          <w:sz w:val="32"/>
          <w:szCs w:val="32"/>
          <w:lang w:eastAsia="ru-RU"/>
        </w:rPr>
      </w:pPr>
      <w:r w:rsidRPr="00091BA6">
        <w:rPr>
          <w:rFonts w:ascii="Times New Roman" w:eastAsia="Times New Roman" w:hAnsi="Times New Roman" w:cs="Times New Roman"/>
          <w:b/>
          <w:bCs/>
          <w:color w:val="444444"/>
          <w:sz w:val="32"/>
          <w:szCs w:val="32"/>
          <w:lang w:eastAsia="ru-RU"/>
        </w:rPr>
        <w:t>Комментарии к федеральному государственному образовательному стандарту дошкольного образования</w:t>
      </w:r>
    </w:p>
    <w:p w:rsidR="00091BA6" w:rsidRPr="00091BA6" w:rsidRDefault="00091BA6" w:rsidP="00091BA6">
      <w:pPr>
        <w:spacing w:before="225" w:after="225" w:line="300" w:lineRule="atLeast"/>
        <w:rPr>
          <w:rFonts w:ascii="Arial" w:eastAsia="Times New Roman" w:hAnsi="Arial" w:cs="Arial"/>
          <w:color w:val="444444"/>
          <w:sz w:val="21"/>
          <w:szCs w:val="21"/>
          <w:lang w:eastAsia="ru-RU"/>
        </w:rPr>
      </w:pPr>
      <w:r w:rsidRPr="00091BA6">
        <w:rPr>
          <w:rFonts w:ascii="Arial" w:eastAsia="Times New Roman" w:hAnsi="Arial" w:cs="Arial"/>
          <w:color w:val="444444"/>
          <w:sz w:val="21"/>
          <w:szCs w:val="21"/>
          <w:lang w:eastAsia="ru-RU"/>
        </w:rPr>
        <w:t> </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b/>
          <w:bCs/>
          <w:color w:val="444444"/>
          <w:sz w:val="28"/>
          <w:szCs w:val="28"/>
          <w:lang w:eastAsia="ru-RU"/>
        </w:rPr>
        <w:t>Комментарии к разделу I пункта 1.3. подпункта 2</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xml:space="preserve">В данном пункте Федерального государственного образовательного стандарта дошкольного образования (далее - ФГОС ДО, Стандарт) содержится указание на разные возрастные возможности детей при разработке и реализации образовательной программы (далее - Программа) в организации, осуществляющую образовательную деятельность (далее - Организация) На </w:t>
      </w:r>
      <w:r w:rsidRPr="00091BA6">
        <w:rPr>
          <w:rFonts w:ascii="Times New Roman" w:eastAsia="Times New Roman" w:hAnsi="Times New Roman" w:cs="Times New Roman"/>
          <w:color w:val="444444"/>
          <w:sz w:val="28"/>
          <w:szCs w:val="28"/>
          <w:lang w:eastAsia="ru-RU"/>
        </w:rPr>
        <w:lastRenderedPageBreak/>
        <w:t>практике чаще всего (в условиях организации одновозрастных групп) Программа формируется для детей разного возраста, с разбивкой на этапы освоения: начальный - для детей раннего (младенческого) возраста, завершающий - старшего дошкольного возраста. Разнообразие возрастных возможностей детей требует создания разных условий, что учитывается требованиями Стандарта, же время,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 например, при появлении ребенка в группе детского сада в середине/конце освоения Программы группой. В этом случае педагоги должны ориентироваться на интересы, возможности и склонности ребенка, а не на содержание текущего этапа Программы.</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b/>
          <w:bCs/>
          <w:color w:val="444444"/>
          <w:sz w:val="28"/>
          <w:szCs w:val="28"/>
          <w:lang w:eastAsia="ru-RU"/>
        </w:rPr>
        <w:t>Комментарии к разделу II пункта 2.2.</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xml:space="preserve">В соответствии с данным пунктом Стандарта, а также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091BA6">
        <w:rPr>
          <w:rFonts w:ascii="Times New Roman" w:eastAsia="Times New Roman" w:hAnsi="Times New Roman" w:cs="Times New Roman"/>
          <w:color w:val="444444"/>
          <w:sz w:val="28"/>
          <w:szCs w:val="28"/>
          <w:lang w:eastAsia="ru-RU"/>
        </w:rPr>
        <w:t>Минобрнауки</w:t>
      </w:r>
      <w:proofErr w:type="spellEnd"/>
      <w:r w:rsidRPr="00091BA6">
        <w:rPr>
          <w:rFonts w:ascii="Times New Roman" w:eastAsia="Times New Roman" w:hAnsi="Times New Roman" w:cs="Times New Roman"/>
          <w:color w:val="444444"/>
          <w:sz w:val="28"/>
          <w:szCs w:val="28"/>
          <w:lang w:eastAsia="ru-RU"/>
        </w:rPr>
        <w:t xml:space="preserve"> России от 30 августа 2013 г. №1014), группы различной направленности (общеразвивающей, компенсирующей, оздоровительной или комбинированной), являющиеся структурными подразделениями дошкольной образовательной организации (далее - ДОО) и ведущие образовательную деятельность, могут реализовывать разные образовательные программы в соответствии с требованиями ФГОС ДО и с учетом примерных основных образовательных программ дошкольного образования. 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 пункта 9 статьи 2 Федерального закона «Об образовании в Российской Федерации» от 29 декабря 2012 г. №273-ФЗ (далее - Закон), при этом, если образовательная программа для отдельной группы ДОО разрабатывается с использованием примерной основной образовательной программы, обязательная часть образовательной программы группа в соответствии с пунктом 2.12. ФГОС ДО может быть оформлена в виде ссылки на соответствующую примерную основную образовательную программу. Часть программы, формируемая участниками образовательных отношений, в соответствии с пунктом 2.12. ФГОС ДО также может быть оформлена в виде ссылки на соответствующую методическую литературу, представляющую парциальные программы и/или методические разработки, используемые группой при реализации этой части программы.</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Если образовательная программа группы разрабатывается исключительно на основании требований ФГОС ДО без учета примерной (примерных) программ, то обязательная часть и часть, формируемая участниками образовательного процесса, разрабатываются в соответствии с требованиями пункта 2.11.ФГОС ДО.</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b/>
          <w:bCs/>
          <w:color w:val="444444"/>
          <w:sz w:val="28"/>
          <w:szCs w:val="28"/>
          <w:lang w:eastAsia="ru-RU"/>
        </w:rPr>
        <w:lastRenderedPageBreak/>
        <w:t>Комментарии к разделу II пункта 2.5.</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xml:space="preserve">Данная норма предполагает, что при разработке образовательной программы (программ) конкретной Организации могут использоваться примерные </w:t>
      </w:r>
      <w:proofErr w:type="gramStart"/>
      <w:r w:rsidRPr="00091BA6">
        <w:rPr>
          <w:rFonts w:ascii="Times New Roman" w:eastAsia="Times New Roman" w:hAnsi="Times New Roman" w:cs="Times New Roman"/>
          <w:color w:val="444444"/>
          <w:sz w:val="28"/>
          <w:szCs w:val="28"/>
          <w:lang w:eastAsia="ru-RU"/>
        </w:rPr>
        <w:t>основные образовательные программы дошкольного образования</w:t>
      </w:r>
      <w:proofErr w:type="gramEnd"/>
      <w:r w:rsidRPr="00091BA6">
        <w:rPr>
          <w:rFonts w:ascii="Times New Roman" w:eastAsia="Times New Roman" w:hAnsi="Times New Roman" w:cs="Times New Roman"/>
          <w:color w:val="444444"/>
          <w:sz w:val="28"/>
          <w:szCs w:val="28"/>
          <w:lang w:eastAsia="ru-RU"/>
        </w:rPr>
        <w:t xml:space="preserve"> входящие в реестр примерных основных образовательных программ (статья 12 Закона). Организация (группа) может разрабатывать программы самостоятельно, не опираясь на какую (какие) - либо примерные программы. Употребленный в данном пункте, а также в Законе термин «с учетом» означает право и 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(программ) ДОО.</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Выбор режима работы дошкольной группы осуществляется Организацией самостоятельно (с учетом объема решаемых задач, мнений участников образовательных отношений). Таким образом обеспечивается соответствие организационных особенностей реализации Программы ее содержанию. Дня обеспечения бюджетного финансирования всего времени работы педагогического и учебно-вспомогательного персонала в группе продолжительность реализации Программы в сутки должна соответствовать выбранному режиму работы группы, что должно быть отражено в Программе.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программ могут быть незначительны). Право реализации нескольких основных общеобразовательных программ закреплено статьей 12 Закона. Программа может соответствовать любому режиму работы группы, не превышающему 14 часов в сутки. В случае, если режим работы группы превышает 14 часов в сутки, Программа реализуется не более 14 часов от всего времени пребывания детей.</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xml:space="preserve">Реализация программы не подразумевает ограничений на оказание дополнительных платных образовательных услуг воспитанникам. Получение воспитанниками таких услуг должно регламентироваться договорами (в соответствии с утвержденной примерной формой договора об образовании по образовательным программам дошкольного образования, приказ </w:t>
      </w:r>
      <w:proofErr w:type="spellStart"/>
      <w:r w:rsidRPr="00091BA6">
        <w:rPr>
          <w:rFonts w:ascii="Times New Roman" w:eastAsia="Times New Roman" w:hAnsi="Times New Roman" w:cs="Times New Roman"/>
          <w:color w:val="444444"/>
          <w:sz w:val="28"/>
          <w:szCs w:val="28"/>
          <w:lang w:eastAsia="ru-RU"/>
        </w:rPr>
        <w:t>Минобрнауки</w:t>
      </w:r>
      <w:proofErr w:type="spellEnd"/>
      <w:r w:rsidRPr="00091BA6">
        <w:rPr>
          <w:rFonts w:ascii="Times New Roman" w:eastAsia="Times New Roman" w:hAnsi="Times New Roman" w:cs="Times New Roman"/>
          <w:color w:val="444444"/>
          <w:sz w:val="28"/>
          <w:szCs w:val="28"/>
          <w:lang w:eastAsia="ru-RU"/>
        </w:rPr>
        <w:t xml:space="preserve"> России от 13 января 2014 г. № 8 (направлен в Минюст России на государственную регистрацию). В случае если Программа реализуется в течение всего времени пребывания детей в Организации (продолжительность работы группы соответствует продолжительности реализации Программы)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 Поскольку </w:t>
      </w:r>
      <w:r w:rsidRPr="00091BA6">
        <w:rPr>
          <w:rFonts w:ascii="Times New Roman" w:eastAsia="Times New Roman" w:hAnsi="Times New Roman" w:cs="Times New Roman"/>
          <w:color w:val="444444"/>
          <w:sz w:val="28"/>
          <w:szCs w:val="28"/>
          <w:lang w:eastAsia="ru-RU"/>
        </w:rPr>
        <w:lastRenderedPageBreak/>
        <w:t>дошкольное образование не является обязательным, родители (законные представители) воспитанника используют свое право на выбор формы получения ребенком образования и Организации, осуществляющей образовательную деятельность. При этом, в случае если хотя бы один ребенок фактически остается в группе, реализация Программы в ней не прекращается, прерывается лишь получение образования воспитанником, получающим дополнительную услугу. Поскольку дополнительное образование детей также является важным элементом развития детей, и ограничение их в его получении неконституционно, Организация не может повлиять на решение родителей о порядке посещения ребенком дошкольной группы. Независимо от количества детей в группе для обеспечения реализации Программы требуется создать, в том числе необходимые кадровые условия. При этом финансовое обеспечение кадровых условий определяется в зависимости от нормативного количества детей в группе. Следовательно,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не влияющее на изменение условий реализации Программы, не должно рассматриваться как нецелевое использование бюджетных средств. В то же время,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b/>
          <w:bCs/>
          <w:color w:val="444444"/>
          <w:sz w:val="28"/>
          <w:szCs w:val="28"/>
          <w:lang w:eastAsia="ru-RU"/>
        </w:rPr>
        <w:t>Комментарии к разделу II пункта 2.7. (первый абзац)</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xml:space="preserve">Указанная норма означает, что содержание образовательной программы (программ) ДОО не должно быть заранее расписано по конкретным образовательным областям, поскольку оно определяется конкретной ситуацией в группе,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Это означает, что конкретное содержание образовательной программы выполняет роль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областях - например, в области социально-коммуникативного, познавательного и речевого развития, или социально-коммуникативного, художественно-эстетического и физического развития и т.д. Таким образом, определенная образовательная технология или </w:t>
      </w:r>
      <w:r w:rsidRPr="00091BA6">
        <w:rPr>
          <w:rFonts w:ascii="Times New Roman" w:eastAsia="Times New Roman" w:hAnsi="Times New Roman" w:cs="Times New Roman"/>
          <w:color w:val="444444"/>
          <w:sz w:val="28"/>
          <w:szCs w:val="28"/>
          <w:lang w:eastAsia="ru-RU"/>
        </w:rPr>
        <w:lastRenderedPageBreak/>
        <w:t>содержательное наполнение образовательной деятельности часто связано с работой педагога одновременно в разных образовательных областях.</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В то же время, существуют примерные программы, которые подробно расписывают определенное образовательное содержание. Если Организация принимают за основу своей Программы такую примерную программу, следует сделать ссылку именно на эту Программу.</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b/>
          <w:bCs/>
          <w:color w:val="444444"/>
          <w:sz w:val="28"/>
          <w:szCs w:val="28"/>
          <w:lang w:eastAsia="ru-RU"/>
        </w:rPr>
        <w:t>Комментарии к разделу II пункта 2.9. (второй абзац)</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Данная статья ФГОС ДО подчеркивает взаимодополняющий характер детского развития в пяти образовательных областях.</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b/>
          <w:bCs/>
          <w:color w:val="444444"/>
          <w:sz w:val="28"/>
          <w:szCs w:val="28"/>
          <w:lang w:eastAsia="ru-RU"/>
        </w:rPr>
        <w:t>Комментарии к разделу II пункта 2.10.</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Соотношение частей образовательной программы носит рекомендательный характер и призвано примерно оценить пропорцию между обязательной частью программы и частью, формируемой участниками образовательных отношений. Надо иметь в виду, что необязательный характер уровня дошкольного образования не позволяет устанавливать жесткое соотношение частей программы ДОО.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b/>
          <w:bCs/>
          <w:color w:val="444444"/>
          <w:sz w:val="28"/>
          <w:szCs w:val="28"/>
          <w:lang w:eastAsia="ru-RU"/>
        </w:rPr>
        <w:t>Комментарии к разделу III пункта 3.1.</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В данном пункте употребляются два сходных термина, которые, тем не менее, относятся к разному содержанию и которые следует различать: «развивающая предметно-пространственная среда» и «образовательная среда».</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Развивающая предметно-пространственная среда - это специфические для каждой Программы Организации (группы) образовательное оборудование, материалы, мебель, и т.п., в сочетании с определенными принципами разделения пространства Организации (группы).</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Под образовательной средой подразумевается весь комплекс условий, которые обеспечивают развитие детей в дошкольной образовательной организации, в том числе, развивающая предметно-пространственная среда, взаимодействие между педагогами и детьми, детская игра, развивающее предметное содержание образовательных областей и другие условия, перечисленные в Стандарте.</w:t>
      </w:r>
    </w:p>
    <w:p w:rsidR="00091BA6" w:rsidRDefault="00091BA6" w:rsidP="00091BA6">
      <w:pPr>
        <w:spacing w:before="225" w:after="225" w:line="300" w:lineRule="atLeast"/>
        <w:rPr>
          <w:rFonts w:ascii="Times New Roman" w:eastAsia="Times New Roman" w:hAnsi="Times New Roman" w:cs="Times New Roman"/>
          <w:b/>
          <w:bCs/>
          <w:color w:val="444444"/>
          <w:sz w:val="28"/>
          <w:szCs w:val="28"/>
          <w:lang w:eastAsia="ru-RU"/>
        </w:rPr>
      </w:pPr>
    </w:p>
    <w:p w:rsidR="00091BA6" w:rsidRDefault="00091BA6" w:rsidP="00091BA6">
      <w:pPr>
        <w:spacing w:before="225" w:after="225" w:line="300" w:lineRule="atLeast"/>
        <w:rPr>
          <w:rFonts w:ascii="Times New Roman" w:eastAsia="Times New Roman" w:hAnsi="Times New Roman" w:cs="Times New Roman"/>
          <w:b/>
          <w:bCs/>
          <w:color w:val="444444"/>
          <w:sz w:val="28"/>
          <w:szCs w:val="28"/>
          <w:lang w:eastAsia="ru-RU"/>
        </w:rPr>
      </w:pP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bookmarkStart w:id="0" w:name="_GoBack"/>
      <w:bookmarkEnd w:id="0"/>
      <w:r w:rsidRPr="00091BA6">
        <w:rPr>
          <w:rFonts w:ascii="Times New Roman" w:eastAsia="Times New Roman" w:hAnsi="Times New Roman" w:cs="Times New Roman"/>
          <w:b/>
          <w:bCs/>
          <w:color w:val="444444"/>
          <w:sz w:val="28"/>
          <w:szCs w:val="28"/>
          <w:lang w:eastAsia="ru-RU"/>
        </w:rPr>
        <w:lastRenderedPageBreak/>
        <w:t>Комментарии к разделу III пункта 3.2.2. и к 3.4.4.</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В соответствии с частью 3 статьи 79 Закона 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наших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обучающимися с ограниченными возможностями здоровья.</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В соответствии с Федеральным законом от 24 ноября 1995 г. №181-ФЗ «О социальной защите инвалидов в Российской Федерации» (далее - Федеральный закон №181-ФЗ) специальные условия должны быть внесены в индивидуальную программу реабилитации инвалида (далее - ИПР). ИПР является обязательной для исполнения всеми без исключения органами и организациями.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 №379н.</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Объем и содержание услуг ассистента (помощника), оказывающего обучающимся необходимую техническую помощь, определяются Индивидуальной программой реабилитации инвалида (перечень реабилитационных мероприятий, направленных на восстановление способностей инвалида к бытовой, общественной, 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развития Российской Федерации от 14 декабря 1996 г. №14).</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b/>
          <w:bCs/>
          <w:color w:val="444444"/>
          <w:sz w:val="28"/>
          <w:szCs w:val="28"/>
          <w:lang w:eastAsia="ru-RU"/>
        </w:rPr>
        <w:t>Комментарии к разделу III пункта 3.2.3.</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Оценка индивидуального развития детей представлена в Стандарте в двух формах диагностики - педагогической и психологической. 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согласно данной статье Стандарта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lastRenderedPageBreak/>
        <w:t>В статье предусмотрены задачи, для решения которых могут использоваться результаты педагогической диагностики:</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1. индивидуализация образования, которая может предполагать поддержку ребенка, построение его образовательной траектории или коррекцию его развития в рамках профессиональной компетенции педагога;</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2. оптимизация работы с группой детей.</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определяется Программой. При этом проведение педагогической диагностики не может быть вменено в обязанность педагогу, если не созданы условия для ее проведения, включая обеспечение специального обучения. Контроль за эффективностью деятельности педагога, которая, в том числе, может включать педагогическую оценку, может проводиться в процессе независимой оценки качества образования в Организации (подпункт 4 пункта 1.7. ФГОС ДО; статья 95 Закона).</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Психологическую диагностику индивидуального развития ребенка, проводят по мере необходимости квалифицированные специалисты - психологи 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Для участия ребенка в психологической диагностике в обязательном порядке требуется согласие его родителей (законных представителей). Если Организация является экспериментальной площадкой (участником) относительно длительной исследовательской программы, этот факт должен быть отражен в Договоре между Организацией и родителями (законными представителями) ребенка с целью получения их информированного согласия на постоянное исследование развития ребенка.</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xml:space="preserve">В соответствии с Положением о психолого-медико-педагогической комиссии, утвержденным приказом </w:t>
      </w:r>
      <w:proofErr w:type="spellStart"/>
      <w:r w:rsidRPr="00091BA6">
        <w:rPr>
          <w:rFonts w:ascii="Times New Roman" w:eastAsia="Times New Roman" w:hAnsi="Times New Roman" w:cs="Times New Roman"/>
          <w:color w:val="444444"/>
          <w:sz w:val="28"/>
          <w:szCs w:val="28"/>
          <w:lang w:eastAsia="ru-RU"/>
        </w:rPr>
        <w:t>Минобрнауки</w:t>
      </w:r>
      <w:proofErr w:type="spellEnd"/>
      <w:r w:rsidRPr="00091BA6">
        <w:rPr>
          <w:rFonts w:ascii="Times New Roman" w:eastAsia="Times New Roman" w:hAnsi="Times New Roman" w:cs="Times New Roman"/>
          <w:color w:val="444444"/>
          <w:sz w:val="28"/>
          <w:szCs w:val="28"/>
          <w:lang w:eastAsia="ru-RU"/>
        </w:rPr>
        <w:t xml:space="preserve"> России от 20 сентября 2013 г. №1082, ребенку с ограниченными возможностями здоровья необходимо пройти обследование на заседании психолого-медико-педагогической комиссии (далее - ПМПК) и получить рекомендации.</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В соответствии с пунктом 10 вышеуказанного Положения основными направлениями деятельности комиссии являются:</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lastRenderedPageBreak/>
        <w:t>а)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б) подготовка по результатам обследования рекомендаций по оказанию детям психолого-медико-педагогической помощи и организации их обучения и воспитания, подтверждение, уточнение или изменение ранее данных комиссией рекомендаций;</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xml:space="preserve">в) оказание консультативной помощи родителям (законным представителям) детей, работникам образовательных организаций, организаций, осуществляющих социальное обслуживание, медицинских организаций, других организаций по вопросам воспитания, обучения и коррекции нарушений развития детей с ограниченными возможностями здоровья и (или) </w:t>
      </w:r>
      <w:proofErr w:type="spellStart"/>
      <w:r w:rsidRPr="00091BA6">
        <w:rPr>
          <w:rFonts w:ascii="Times New Roman" w:eastAsia="Times New Roman" w:hAnsi="Times New Roman" w:cs="Times New Roman"/>
          <w:color w:val="444444"/>
          <w:sz w:val="28"/>
          <w:szCs w:val="28"/>
          <w:lang w:eastAsia="ru-RU"/>
        </w:rPr>
        <w:t>девиантным</w:t>
      </w:r>
      <w:proofErr w:type="spellEnd"/>
      <w:r w:rsidRPr="00091BA6">
        <w:rPr>
          <w:rFonts w:ascii="Times New Roman" w:eastAsia="Times New Roman" w:hAnsi="Times New Roman" w:cs="Times New Roman"/>
          <w:color w:val="444444"/>
          <w:sz w:val="28"/>
          <w:szCs w:val="28"/>
          <w:lang w:eastAsia="ru-RU"/>
        </w:rPr>
        <w:t xml:space="preserve"> (общественно опасным) поведением;</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г) оказание федеральным учреждениям медико-социальной экспертизы содействия в разработке индивидуальной программы реабилитации ребенка-инвалида;</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xml:space="preserve">д) осуществление учета данных о детях с ограниченными возможностями здоровья и (или) </w:t>
      </w:r>
      <w:proofErr w:type="spellStart"/>
      <w:r w:rsidRPr="00091BA6">
        <w:rPr>
          <w:rFonts w:ascii="Times New Roman" w:eastAsia="Times New Roman" w:hAnsi="Times New Roman" w:cs="Times New Roman"/>
          <w:color w:val="444444"/>
          <w:sz w:val="28"/>
          <w:szCs w:val="28"/>
          <w:lang w:eastAsia="ru-RU"/>
        </w:rPr>
        <w:t>девиантным</w:t>
      </w:r>
      <w:proofErr w:type="spellEnd"/>
      <w:r w:rsidRPr="00091BA6">
        <w:rPr>
          <w:rFonts w:ascii="Times New Roman" w:eastAsia="Times New Roman" w:hAnsi="Times New Roman" w:cs="Times New Roman"/>
          <w:color w:val="444444"/>
          <w:sz w:val="28"/>
          <w:szCs w:val="28"/>
          <w:lang w:eastAsia="ru-RU"/>
        </w:rPr>
        <w:t xml:space="preserve"> (общественно опасным) поведением, проживающих на территории деятельности комиссии;</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е)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отклонений в поведении детей.</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В соответствии с пунктом 23 Положения заключение комиссии действительно для представления в указанные органы и организации в течение календарного года с даты его подписания.</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Педагогическая оценка индивидуального развития ребёнка направлена, прежде всего, на определение наличия условий для развития ребёнка в соответствии с его возрастными особенностями, возможностями и индивидуальными склонностями. В отличие от заключения психолого-медико-педагогической комиссии (далее - ПМПК), она не призвана выявлять особенности в физическом и (или) психическом развитии и (или) отклонений в поведении детей.</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b/>
          <w:bCs/>
          <w:color w:val="444444"/>
          <w:sz w:val="28"/>
          <w:szCs w:val="28"/>
          <w:lang w:eastAsia="ru-RU"/>
        </w:rPr>
        <w:t>Комментарии к разделу III пункта 3.2.4.</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Предельная наполняемость Группы (включающей, в том числе, детей с ограниченными возможностями здоровья) определяется в соответствии с санитарно-эпидемиологическими правилами и нормативами.</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xml:space="preserve">В соответствии с постановлением Главного государственного санитарного врача Российской Федерации от 15 мая 2013 г. №26 «Об утверждении СанПиН </w:t>
      </w:r>
      <w:r w:rsidRPr="00091BA6">
        <w:rPr>
          <w:rFonts w:ascii="Times New Roman" w:eastAsia="Times New Roman" w:hAnsi="Times New Roman" w:cs="Times New Roman"/>
          <w:color w:val="444444"/>
          <w:sz w:val="28"/>
          <w:szCs w:val="28"/>
          <w:lang w:eastAsia="ru-RU"/>
        </w:rPr>
        <w:lastRenderedPageBreak/>
        <w:t>2.4.1.3049-13 «Санитарно-эпидемиологические требования к устройству, содержанию и организации режима работы дошкольных образовательных организаций»:</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1.11. Рекомендуемое количество детей в группах компенсирующей направленности для детей до 3 лет и старше 3 лет, соответственно, не должно превышать:</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для детей с тяжелыми нарушениями речи - 6 и 10 детей;</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для детей с фонетико-фонематическими нарушениями речи в возрасте старше 3 лет -12 детей;</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для глухих детей - 6 детей для обеих возрастных групп;</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для слабослышащих детей - 6 и 8 детей;</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для слепых детей - 6 детей для обеих возрастных групп;</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xml:space="preserve">- для слабовидящих детей, для детей с </w:t>
      </w:r>
      <w:proofErr w:type="spellStart"/>
      <w:r w:rsidRPr="00091BA6">
        <w:rPr>
          <w:rFonts w:ascii="Times New Roman" w:eastAsia="Times New Roman" w:hAnsi="Times New Roman" w:cs="Times New Roman"/>
          <w:color w:val="444444"/>
          <w:sz w:val="28"/>
          <w:szCs w:val="28"/>
          <w:lang w:eastAsia="ru-RU"/>
        </w:rPr>
        <w:t>амблиопией</w:t>
      </w:r>
      <w:proofErr w:type="spellEnd"/>
      <w:r w:rsidRPr="00091BA6">
        <w:rPr>
          <w:rFonts w:ascii="Times New Roman" w:eastAsia="Times New Roman" w:hAnsi="Times New Roman" w:cs="Times New Roman"/>
          <w:color w:val="444444"/>
          <w:sz w:val="28"/>
          <w:szCs w:val="28"/>
          <w:lang w:eastAsia="ru-RU"/>
        </w:rPr>
        <w:t>, косоглазием - 6 и детей;</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для детей с нарушениями опорно-двигательного аппарата - 6 и 8 детей:</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для детей с задержкой психического развития - 6 и 10 детей;</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для детей с умственной отсталостью легкой степени - 6 и 10 детей;</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для детей с умственной отсталостью умеренной, тяжелой в возрасте старше 3 лет - 8 детей;</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для детей с аутизмом только в возрасте старше 3 лет - 5 детей;</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для детей с иными ограниченными возможностями здоровья - 10 и 15 детей. 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соответствующего анатомо-физиологическим особенностям каждой возрастной группы.</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1.12. В дошкольных образовательных организациях организация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lastRenderedPageBreak/>
        <w:t>Рекомендуемое количество детей в группах комбинированной направленности:</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а) до 3 лет - не более 10 детей, в том числе не более 3 детей ограниченными возможностями здоровья;</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б) старше 3 лет:</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не более 10 детей, в том числе не более 3 глухих детей, или слепых детей, или детей с нарушениями опорно-двигательного аппарата, или детей умственной отсталостью умеренной, тяжелой, или детей со сложным дефектом;</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xml:space="preserve">- не более 15 детей, в том числе не более 4 слабовидящих и (или) детей </w:t>
      </w:r>
      <w:proofErr w:type="spellStart"/>
      <w:r w:rsidRPr="00091BA6">
        <w:rPr>
          <w:rFonts w:ascii="Times New Roman" w:eastAsia="Times New Roman" w:hAnsi="Times New Roman" w:cs="Times New Roman"/>
          <w:color w:val="444444"/>
          <w:sz w:val="28"/>
          <w:szCs w:val="28"/>
          <w:lang w:eastAsia="ru-RU"/>
        </w:rPr>
        <w:t>амблиопией</w:t>
      </w:r>
      <w:proofErr w:type="spellEnd"/>
      <w:r w:rsidRPr="00091BA6">
        <w:rPr>
          <w:rFonts w:ascii="Times New Roman" w:eastAsia="Times New Roman" w:hAnsi="Times New Roman" w:cs="Times New Roman"/>
          <w:color w:val="444444"/>
          <w:sz w:val="28"/>
          <w:szCs w:val="28"/>
          <w:lang w:eastAsia="ru-RU"/>
        </w:rPr>
        <w:t xml:space="preserve"> и (или) косоглазием, или слабослышащих детей, или </w:t>
      </w:r>
      <w:proofErr w:type="spellStart"/>
      <w:r w:rsidRPr="00091BA6">
        <w:rPr>
          <w:rFonts w:ascii="Times New Roman" w:eastAsia="Times New Roman" w:hAnsi="Times New Roman" w:cs="Times New Roman"/>
          <w:color w:val="444444"/>
          <w:sz w:val="28"/>
          <w:szCs w:val="28"/>
          <w:lang w:eastAsia="ru-RU"/>
        </w:rPr>
        <w:t>детёй</w:t>
      </w:r>
      <w:proofErr w:type="spellEnd"/>
      <w:r w:rsidRPr="00091BA6">
        <w:rPr>
          <w:rFonts w:ascii="Times New Roman" w:eastAsia="Times New Roman" w:hAnsi="Times New Roman" w:cs="Times New Roman"/>
          <w:color w:val="444444"/>
          <w:sz w:val="28"/>
          <w:szCs w:val="28"/>
          <w:lang w:eastAsia="ru-RU"/>
        </w:rPr>
        <w:t>, имеющих тяжелые нарушения речи, или детей с умственной отсталостью легкой степени;</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не более 17 детей, в том числе не более 5 детей с задержкой психического развития.</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b/>
          <w:bCs/>
          <w:color w:val="444444"/>
          <w:sz w:val="28"/>
          <w:szCs w:val="28"/>
          <w:lang w:eastAsia="ru-RU"/>
        </w:rPr>
        <w:t>Комментарии к разделу III пункта 3.2.6. подпункта 1</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Полномочия по финансовому обеспечению создания в организации условий для дополнительного профессионального образования педагогических работников (часть 2 статьи 99 Закона) относятся к полномочиям субъектов Российской Федерации. Необходимые средства должны быть доведены до Организации (государственной, муниципальной или частной) в составе норматива затрат, либо заложены в смету казенного учреждения. При этом,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(в том числе, оплата замещения временно отсутствующего работника), так и для направления работников на обучение (оплата обучения, командировочные расходы).</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b/>
          <w:bCs/>
          <w:color w:val="444444"/>
          <w:sz w:val="28"/>
          <w:szCs w:val="28"/>
          <w:lang w:eastAsia="ru-RU"/>
        </w:rPr>
        <w:t>Комментарии к разделу III пункта 3.2.7.</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xml:space="preserve">В соответствии с частью 1 статьи 79 Закона: «... содержание образования и условия организации обучения и воспитания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В связи с этим, </w:t>
      </w:r>
      <w:proofErr w:type="spellStart"/>
      <w:r w:rsidRPr="00091BA6">
        <w:rPr>
          <w:rFonts w:ascii="Times New Roman" w:eastAsia="Times New Roman" w:hAnsi="Times New Roman" w:cs="Times New Roman"/>
          <w:color w:val="444444"/>
          <w:sz w:val="28"/>
          <w:szCs w:val="28"/>
          <w:lang w:eastAsia="ru-RU"/>
        </w:rPr>
        <w:t>дм</w:t>
      </w:r>
      <w:proofErr w:type="spellEnd"/>
      <w:r w:rsidRPr="00091BA6">
        <w:rPr>
          <w:rFonts w:ascii="Times New Roman" w:eastAsia="Times New Roman" w:hAnsi="Times New Roman" w:cs="Times New Roman"/>
          <w:color w:val="444444"/>
          <w:sz w:val="28"/>
          <w:szCs w:val="28"/>
          <w:lang w:eastAsia="ru-RU"/>
        </w:rPr>
        <w:t xml:space="preserve">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(отдельными документами) с учетом особенностей их психофизического развития и индивидуальных возможностей. Индивидуальную программу реабилитации разрабатывает </w:t>
      </w:r>
      <w:r w:rsidRPr="00091BA6">
        <w:rPr>
          <w:rFonts w:ascii="Times New Roman" w:eastAsia="Times New Roman" w:hAnsi="Times New Roman" w:cs="Times New Roman"/>
          <w:color w:val="444444"/>
          <w:sz w:val="28"/>
          <w:szCs w:val="28"/>
          <w:lang w:eastAsia="ru-RU"/>
        </w:rPr>
        <w:lastRenderedPageBreak/>
        <w:t xml:space="preserve">Бюро медико-социальной экспертизы (в соответствии со статьей 7 Федерального закона №181-ФЗ). Условия должны быть созданы в соответствии с Рекомендациями ПМПК (приказ </w:t>
      </w:r>
      <w:proofErr w:type="spellStart"/>
      <w:r w:rsidRPr="00091BA6">
        <w:rPr>
          <w:rFonts w:ascii="Times New Roman" w:eastAsia="Times New Roman" w:hAnsi="Times New Roman" w:cs="Times New Roman"/>
          <w:color w:val="444444"/>
          <w:sz w:val="28"/>
          <w:szCs w:val="28"/>
          <w:lang w:eastAsia="ru-RU"/>
        </w:rPr>
        <w:t>Минобрнауки</w:t>
      </w:r>
      <w:proofErr w:type="spellEnd"/>
      <w:r w:rsidRPr="00091BA6">
        <w:rPr>
          <w:rFonts w:ascii="Times New Roman" w:eastAsia="Times New Roman" w:hAnsi="Times New Roman" w:cs="Times New Roman"/>
          <w:color w:val="444444"/>
          <w:sz w:val="28"/>
          <w:szCs w:val="28"/>
          <w:lang w:eastAsia="ru-RU"/>
        </w:rPr>
        <w:t xml:space="preserve"> России от 20 сентября 2013 г. №1082 «Об утверждении Положения о психолого-медико-педагогической комиссии»).</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b/>
          <w:bCs/>
          <w:color w:val="444444"/>
          <w:sz w:val="28"/>
          <w:szCs w:val="28"/>
          <w:lang w:eastAsia="ru-RU"/>
        </w:rPr>
        <w:t>Комментарии к разделу III пункта 3.3.5.</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xml:space="preserve">В соответствии с пунктом 2 части 3 статьи 28 Закона к компетенции образовательной организации отнесено материально-техническое обеспечение образовательной деятельности, оборудование помещений в соответствии с государственными и </w:t>
      </w:r>
      <w:proofErr w:type="gramStart"/>
      <w:r w:rsidRPr="00091BA6">
        <w:rPr>
          <w:rFonts w:ascii="Times New Roman" w:eastAsia="Times New Roman" w:hAnsi="Times New Roman" w:cs="Times New Roman"/>
          <w:color w:val="444444"/>
          <w:sz w:val="28"/>
          <w:szCs w:val="28"/>
          <w:lang w:eastAsia="ru-RU"/>
        </w:rPr>
        <w:t>местными нормами</w:t>
      </w:r>
      <w:proofErr w:type="gramEnd"/>
      <w:r w:rsidRPr="00091BA6">
        <w:rPr>
          <w:rFonts w:ascii="Times New Roman" w:eastAsia="Times New Roman" w:hAnsi="Times New Roman" w:cs="Times New Roman"/>
          <w:color w:val="444444"/>
          <w:sz w:val="28"/>
          <w:szCs w:val="28"/>
          <w:lang w:eastAsia="ru-RU"/>
        </w:rPr>
        <w:t xml:space="preserve"> и требованиями, в том числе в соответствии со Стандартом. Таким образом, Организация самостоятельно утверждает перечень необходимых средств обучения, которые будут использоваться при реализации Программы. При этом средства обучения должны полностью соответствовать требованиям пункта 3.3.4. Стандарта. Для обеспечения возможности Организации осуществлять самостоятельную до закупку необходимых средств обучения норматив затрат, в соответствии которым определяется бюджетное финансирование организации, должны учитываться расходы на приобретение необходимых средств обучения (в соответствии с методическими рекомендациями, направленных письмом </w:t>
      </w:r>
      <w:proofErr w:type="spellStart"/>
      <w:r w:rsidRPr="00091BA6">
        <w:rPr>
          <w:rFonts w:ascii="Times New Roman" w:eastAsia="Times New Roman" w:hAnsi="Times New Roman" w:cs="Times New Roman"/>
          <w:color w:val="444444"/>
          <w:sz w:val="28"/>
          <w:szCs w:val="28"/>
          <w:lang w:eastAsia="ru-RU"/>
        </w:rPr>
        <w:t>Минобрнауки</w:t>
      </w:r>
      <w:proofErr w:type="spellEnd"/>
      <w:r w:rsidRPr="00091BA6">
        <w:rPr>
          <w:rFonts w:ascii="Times New Roman" w:eastAsia="Times New Roman" w:hAnsi="Times New Roman" w:cs="Times New Roman"/>
          <w:color w:val="444444"/>
          <w:sz w:val="28"/>
          <w:szCs w:val="28"/>
          <w:lang w:eastAsia="ru-RU"/>
        </w:rPr>
        <w:t xml:space="preserve"> России от 1 октября 2013 г. №08-1408).</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b/>
          <w:bCs/>
          <w:color w:val="444444"/>
          <w:sz w:val="28"/>
          <w:szCs w:val="28"/>
          <w:lang w:eastAsia="ru-RU"/>
        </w:rPr>
        <w:t>Комментарии к разделу III пункта 3.4.1.</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xml:space="preserve">В соответствии с требованиями к кадровому обеспечению Стандарта деятельность руководящих работников, педагогических работников, учебно-вспомогательного персонала, работников, осуществляющих финансовою деятельность, охрану жизни и здоровья детей необходимо рассматривать в полной мере как деятельность по обеспечению и реализации Программы Номенклатура должностей руководящих, педагогических и учебно-вспомогательных работников утверждена постановлением Правительства от 8 августа 2013 г. №678 «Об утверждении номенклатуры должностей педагогических работников организаций, осуществляющих образовательною деятельность, должностей руководителей образовательных организаций», а также приказом </w:t>
      </w:r>
      <w:proofErr w:type="spellStart"/>
      <w:r w:rsidRPr="00091BA6">
        <w:rPr>
          <w:rFonts w:ascii="Times New Roman" w:eastAsia="Times New Roman" w:hAnsi="Times New Roman" w:cs="Times New Roman"/>
          <w:color w:val="444444"/>
          <w:sz w:val="28"/>
          <w:szCs w:val="28"/>
          <w:lang w:eastAsia="ru-RU"/>
        </w:rPr>
        <w:t>Минздравсоцразвития</w:t>
      </w:r>
      <w:proofErr w:type="spellEnd"/>
      <w:r w:rsidRPr="00091BA6">
        <w:rPr>
          <w:rFonts w:ascii="Times New Roman" w:eastAsia="Times New Roman" w:hAnsi="Times New Roman" w:cs="Times New Roman"/>
          <w:color w:val="444444"/>
          <w:sz w:val="28"/>
          <w:szCs w:val="28"/>
          <w:lang w:eastAsia="ru-RU"/>
        </w:rPr>
        <w:t xml:space="preserve"> России от 26 августа 2010 г. №761н «</w:t>
      </w:r>
      <w:proofErr w:type="spellStart"/>
      <w:r w:rsidRPr="00091BA6">
        <w:rPr>
          <w:rFonts w:ascii="Times New Roman" w:eastAsia="Times New Roman" w:hAnsi="Times New Roman" w:cs="Times New Roman"/>
          <w:color w:val="444444"/>
          <w:sz w:val="28"/>
          <w:szCs w:val="28"/>
          <w:lang w:eastAsia="ru-RU"/>
        </w:rPr>
        <w:t>Эб</w:t>
      </w:r>
      <w:proofErr w:type="spellEnd"/>
      <w:r w:rsidRPr="00091BA6">
        <w:rPr>
          <w:rFonts w:ascii="Times New Roman" w:eastAsia="Times New Roman" w:hAnsi="Times New Roman" w:cs="Times New Roman"/>
          <w:color w:val="444444"/>
          <w:sz w:val="28"/>
          <w:szCs w:val="28"/>
          <w:lang w:eastAsia="ru-RU"/>
        </w:rPr>
        <w:t xml:space="preserve">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Таким образом,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 осуществляющие управление в сфере образования, и не может быть переложена на уровень муниципалитетов или родителей. То есть средства на оплату труда указанных категорий персонала должны быть заложены в региональные нормативы затрат. Финансовое обеспечение </w:t>
      </w:r>
      <w:r w:rsidRPr="00091BA6">
        <w:rPr>
          <w:rFonts w:ascii="Times New Roman" w:eastAsia="Times New Roman" w:hAnsi="Times New Roman" w:cs="Times New Roman"/>
          <w:color w:val="444444"/>
          <w:sz w:val="28"/>
          <w:szCs w:val="28"/>
          <w:lang w:eastAsia="ru-RU"/>
        </w:rPr>
        <w:lastRenderedPageBreak/>
        <w:t>привлечения к реализации Программы научных работников остается на усмотрение субъекта Российской Федерации.</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В соответствии с пунктом 4 части 2 и частью 3 статьи 28 Закона установление штатного расписания является компетенцией Организации. В то же время Организация должна исходить в первую очередь из задачи обеспечения требований Стандарта.</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Для сопровождения реализации Программы на протяжении всего времени реализации (в большинстве случаев соответствующего продолжительности работы группы) в каждой группе должны находиться не менее двух работников, в том числе одного воспитателя (или другого педагогического работника) и помощника воспитателя (младшего воспитателя). Таким образом, дети в любой момент должны находиться с одним или несколькими работниками Организации, принимающими участие в реализации Программы (с педагогическим и/или учебно-вспомогательным работником). При расчете региональных нормативов финансирования необходимо учитывать особенности нагрузки на отдельные должности работников при работе различных группах, в том числе в группах с различной направленностью Программ, а также особенности работы воспитателей в течение времени их совместного пребывания в Организации:</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при оформлении результатов наблюдения (мониторинга) за здоровьем, развитием и воспитанием детей, в том числе с помощью электронных форм;</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разработке плана (программы) воспитательной работы;</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при участии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консультативной помощи родителям (лицам, их заменяющим) и иных мероприятиях, предусмотренных должностной инструкцией.</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Необходимо также учитывать,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(например, инструкторы по физической культуре, музыкальные руководители специалисты по художественному и эстетическому воспитанию, педагоги-психологи), а также должна осуществляться методическая поддержка реализации Программы. Для этого Организация самостоятельно устанавливает штатное расписание в пределах выделяемого финансирования. Таким образом, региональные нормативы затрат должны учитывать необходимость покрытия расходов Организации, связанных с привлечением всех категорий работников, предусмотренных пунктом 3.4.1 Стандарта.</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b/>
          <w:bCs/>
          <w:color w:val="444444"/>
          <w:sz w:val="28"/>
          <w:szCs w:val="28"/>
          <w:lang w:eastAsia="ru-RU"/>
        </w:rPr>
        <w:t>Комментарии к разделу III пунктов 3.4.3. и 3.4.4.</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lastRenderedPageBreak/>
        <w:t>Педагогическими работниками, дополнительно привлекаемыми для обеспечения реализации Программы в группах для детей с ОВЗ (пункт 3.4.3. Стандарта) и в общеразвивающих группах, в которых обучаются дети с ОВЗ (пункт 3.4.3. Стандарта), являются учителя-дефектологи, учителя-логопеды, а также, в случае необходимости, социальные педагоги. Рекомендованное количество соответствующих педагогов в расчете на одну группу (для обоих случаев) составляет 1 ставку на группу.</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b/>
          <w:bCs/>
          <w:color w:val="444444"/>
          <w:sz w:val="28"/>
          <w:szCs w:val="28"/>
          <w:lang w:eastAsia="ru-RU"/>
        </w:rPr>
        <w:t>Комментарии к разделу III пункта З.6.</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 xml:space="preserve">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предметно-развивающей среде, и обязательства муниципалитета по финансовому обеспечению организации реализации Программы в учреждениях. При этом подробное распределение региональных и местных обязательств разъясняется письмом </w:t>
      </w:r>
      <w:proofErr w:type="spellStart"/>
      <w:r w:rsidRPr="00091BA6">
        <w:rPr>
          <w:rFonts w:ascii="Times New Roman" w:eastAsia="Times New Roman" w:hAnsi="Times New Roman" w:cs="Times New Roman"/>
          <w:color w:val="444444"/>
          <w:sz w:val="28"/>
          <w:szCs w:val="28"/>
          <w:lang w:eastAsia="ru-RU"/>
        </w:rPr>
        <w:t>Минобрнауки</w:t>
      </w:r>
      <w:proofErr w:type="spellEnd"/>
      <w:r w:rsidRPr="00091BA6">
        <w:rPr>
          <w:rFonts w:ascii="Times New Roman" w:eastAsia="Times New Roman" w:hAnsi="Times New Roman" w:cs="Times New Roman"/>
          <w:color w:val="444444"/>
          <w:sz w:val="28"/>
          <w:szCs w:val="28"/>
          <w:lang w:eastAsia="ru-RU"/>
        </w:rPr>
        <w:t xml:space="preserve"> России от 1 октября 2013 г. №08-1408.</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b/>
          <w:bCs/>
          <w:color w:val="444444"/>
          <w:sz w:val="28"/>
          <w:szCs w:val="28"/>
          <w:lang w:eastAsia="ru-RU"/>
        </w:rPr>
        <w:t>Комментарии к разделу IV пункта 4.3.</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Данная статья Стандарта в соответствии с положениями Закона не допускает использование целевых ориентиров дошкольного образования для непосредственной оценки реальных достижений детей. Целевые ориентиры, представленные в статье 4.6. Стандарта, отражают согласованные ожидания общества относительно дошкольного детства и представляют собой возрастной портрет ребенка, который не может быть непосредственно применен к отдельному ребенку.</w:t>
      </w:r>
    </w:p>
    <w:p w:rsidR="00091BA6" w:rsidRPr="00091BA6" w:rsidRDefault="00091BA6" w:rsidP="00091BA6">
      <w:pPr>
        <w:spacing w:before="225" w:after="225" w:line="300" w:lineRule="atLeast"/>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b/>
          <w:bCs/>
          <w:color w:val="444444"/>
          <w:sz w:val="28"/>
          <w:szCs w:val="28"/>
          <w:lang w:eastAsia="ru-RU"/>
        </w:rPr>
        <w:t>Комментарии к разделу IV пункта 4.5.</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В пункте содержится запрет на использование целевых ориентиров для решения ряда управленческих задач. Основанием для такого запрета является характер целевых ориентиров, которые не предполагают контроля за достижением конкретных образовательных результатов детей. Контроль, за образовательной деятельностью в рамках реализации Программы в Организации 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t>Оценка выполнения муниципального (государственного) задания должна строиться на основании критериев, характеризующих создаваемые учреждением условия при реализации Программы. При расчете критериев, используемых для оценки выполнения бюджетных заданий, запрещается использовать показатели, соотносимые с характеристиками воспитанников организации.</w:t>
      </w:r>
    </w:p>
    <w:p w:rsidR="00091BA6" w:rsidRPr="00091BA6" w:rsidRDefault="00091BA6" w:rsidP="00091BA6">
      <w:pPr>
        <w:spacing w:before="225" w:after="225" w:line="300" w:lineRule="atLeast"/>
        <w:jc w:val="both"/>
        <w:rPr>
          <w:rFonts w:ascii="Times New Roman" w:eastAsia="Times New Roman" w:hAnsi="Times New Roman" w:cs="Times New Roman"/>
          <w:color w:val="444444"/>
          <w:sz w:val="28"/>
          <w:szCs w:val="28"/>
          <w:lang w:eastAsia="ru-RU"/>
        </w:rPr>
      </w:pPr>
      <w:r w:rsidRPr="00091BA6">
        <w:rPr>
          <w:rFonts w:ascii="Times New Roman" w:eastAsia="Times New Roman" w:hAnsi="Times New Roman" w:cs="Times New Roman"/>
          <w:color w:val="444444"/>
          <w:sz w:val="28"/>
          <w:szCs w:val="28"/>
          <w:lang w:eastAsia="ru-RU"/>
        </w:rPr>
        <w:lastRenderedPageBreak/>
        <w:t>Используемые в Организациях критерии для оценки эффективности деятельности отдельных работников должны быть построены на показатели, характеризующих создаваемые ими условия при реализации образовательной программы. Запрещается использовать показатели, соотносимые характеристиками воспитанников Организации.</w:t>
      </w:r>
    </w:p>
    <w:p w:rsidR="003F6F5B" w:rsidRPr="00091BA6" w:rsidRDefault="003F6F5B">
      <w:pPr>
        <w:rPr>
          <w:rFonts w:ascii="Times New Roman" w:hAnsi="Times New Roman" w:cs="Times New Roman"/>
          <w:sz w:val="28"/>
          <w:szCs w:val="28"/>
        </w:rPr>
      </w:pPr>
    </w:p>
    <w:sectPr w:rsidR="003F6F5B" w:rsidRPr="00091B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13FAD"/>
    <w:multiLevelType w:val="multilevel"/>
    <w:tmpl w:val="3870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BA6"/>
    <w:rsid w:val="00091BA6"/>
    <w:rsid w:val="003F6F5B"/>
    <w:rsid w:val="00541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6D37B6-6761-4349-8993-8C37F527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1BA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91B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543228">
      <w:bodyDiv w:val="1"/>
      <w:marLeft w:val="0"/>
      <w:marRight w:val="0"/>
      <w:marTop w:val="0"/>
      <w:marBottom w:val="0"/>
      <w:divBdr>
        <w:top w:val="none" w:sz="0" w:space="0" w:color="auto"/>
        <w:left w:val="none" w:sz="0" w:space="0" w:color="auto"/>
        <w:bottom w:val="none" w:sz="0" w:space="0" w:color="auto"/>
        <w:right w:val="none" w:sz="0" w:space="0" w:color="auto"/>
      </w:divBdr>
      <w:divsChild>
        <w:div w:id="1136028596">
          <w:marLeft w:val="0"/>
          <w:marRight w:val="0"/>
          <w:marTop w:val="0"/>
          <w:marBottom w:val="0"/>
          <w:divBdr>
            <w:top w:val="none" w:sz="0" w:space="0" w:color="auto"/>
            <w:left w:val="none" w:sz="0" w:space="0" w:color="auto"/>
            <w:bottom w:val="none" w:sz="0" w:space="0" w:color="auto"/>
            <w:right w:val="none" w:sz="0" w:space="0" w:color="auto"/>
          </w:divBdr>
        </w:div>
        <w:div w:id="89662599">
          <w:marLeft w:val="0"/>
          <w:marRight w:val="0"/>
          <w:marTop w:val="240"/>
          <w:marBottom w:val="0"/>
          <w:divBdr>
            <w:top w:val="dotted" w:sz="6" w:space="2" w:color="CCCCCC"/>
            <w:left w:val="none" w:sz="0" w:space="0" w:color="auto"/>
            <w:bottom w:val="dotted" w:sz="6" w:space="2" w:color="CCCCCC"/>
            <w:right w:val="none" w:sz="0" w:space="0" w:color="auto"/>
          </w:divBdr>
        </w:div>
        <w:div w:id="1397432427">
          <w:marLeft w:val="0"/>
          <w:marRight w:val="0"/>
          <w:marTop w:val="0"/>
          <w:marBottom w:val="0"/>
          <w:divBdr>
            <w:top w:val="none" w:sz="0" w:space="0" w:color="auto"/>
            <w:left w:val="none" w:sz="0" w:space="0" w:color="auto"/>
            <w:bottom w:val="none" w:sz="0" w:space="0" w:color="auto"/>
            <w:right w:val="none" w:sz="0" w:space="0" w:color="auto"/>
          </w:divBdr>
          <w:divsChild>
            <w:div w:id="178723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4749</Words>
  <Characters>27073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MDOU308</dc:creator>
  <cp:keywords/>
  <dc:description/>
  <cp:lastModifiedBy>MDOU308</cp:lastModifiedBy>
  <cp:revision>2</cp:revision>
  <cp:lastPrinted>2014-11-13T04:38:00Z</cp:lastPrinted>
  <dcterms:created xsi:type="dcterms:W3CDTF">2014-11-13T04:35:00Z</dcterms:created>
  <dcterms:modified xsi:type="dcterms:W3CDTF">2014-11-13T06:37:00Z</dcterms:modified>
</cp:coreProperties>
</file>